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1AF" w:rsidRPr="005E31AF" w:rsidRDefault="005E31AF" w:rsidP="005E31AF">
      <w:pPr>
        <w:spacing w:before="240" w:after="60" w:line="240" w:lineRule="auto"/>
        <w:jc w:val="center"/>
        <w:outlineLvl w:val="0"/>
        <w:rPr>
          <w:rFonts w:ascii="Calibri" w:eastAsia="Times New Roman" w:hAnsi="Calibri" w:cs="Arial"/>
          <w:b/>
          <w:bCs/>
          <w:kern w:val="28"/>
          <w:sz w:val="44"/>
          <w:szCs w:val="40"/>
        </w:rPr>
      </w:pPr>
      <w:r w:rsidRPr="005E31AF">
        <w:rPr>
          <w:rFonts w:ascii="Calibri" w:eastAsia="Times New Roman" w:hAnsi="Calibri" w:cs="Arial"/>
          <w:b/>
          <w:bCs/>
          <w:kern w:val="28"/>
          <w:sz w:val="44"/>
          <w:szCs w:val="40"/>
        </w:rPr>
        <w:t>Alpheius Global Enterprises</w:t>
      </w:r>
    </w:p>
    <w:p w:rsidR="005E31AF" w:rsidRPr="005E31AF" w:rsidRDefault="005E31AF" w:rsidP="005E31AF">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sz w:val="36"/>
          <w:szCs w:val="24"/>
        </w:rPr>
        <w:t>Caring, Responsible and Attentive to Frogs for Today and Yesterday</w:t>
      </w:r>
    </w:p>
    <w:p w:rsidR="005E31AF" w:rsidRPr="005E31AF" w:rsidRDefault="005E31AF" w:rsidP="005E31AF">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noProof/>
          <w:sz w:val="36"/>
          <w:szCs w:val="24"/>
          <w:lang w:eastAsia="en-AU"/>
        </w:rPr>
        <w:drawing>
          <wp:anchor distT="0" distB="0" distL="114300" distR="114300" simplePos="0" relativeHeight="251659264" behindDoc="0" locked="0" layoutInCell="1" allowOverlap="1" wp14:anchorId="3F418038" wp14:editId="4EE0BBEF">
            <wp:simplePos x="0" y="0"/>
            <wp:positionH relativeFrom="column">
              <wp:posOffset>3543300</wp:posOffset>
            </wp:positionH>
            <wp:positionV relativeFrom="paragraph">
              <wp:posOffset>283844</wp:posOffset>
            </wp:positionV>
            <wp:extent cx="1943100" cy="1281907"/>
            <wp:effectExtent l="19050" t="0" r="0" b="0"/>
            <wp:wrapNone/>
            <wp:docPr id="1" name="Picture 1" descr="C:\Users\Karen\AppData\Local\Microsoft\Windows\Temporary Internet Files\Content.IE5\K9THVSIG\MPj042859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K9THVSIG\MPj04285980000[1].jpg"/>
                    <pic:cNvPicPr>
                      <a:picLocks noChangeAspect="1" noChangeArrowheads="1"/>
                    </pic:cNvPicPr>
                  </pic:nvPicPr>
                  <pic:blipFill>
                    <a:blip r:embed="rId6" cstate="print"/>
                    <a:srcRect/>
                    <a:stretch>
                      <a:fillRect/>
                    </a:stretch>
                  </pic:blipFill>
                  <pic:spPr bwMode="auto">
                    <a:xfrm>
                      <a:off x="0" y="0"/>
                      <a:ext cx="1943100" cy="1281907"/>
                    </a:xfrm>
                    <a:prstGeom prst="rect">
                      <a:avLst/>
                    </a:prstGeom>
                    <a:noFill/>
                    <a:ln w="9525">
                      <a:noFill/>
                      <a:miter lim="800000"/>
                      <a:headEnd/>
                      <a:tailEnd/>
                    </a:ln>
                  </pic:spPr>
                </pic:pic>
              </a:graphicData>
            </a:graphic>
          </wp:anchor>
        </w:drawing>
      </w:r>
      <w:r w:rsidRPr="005E31AF">
        <w:rPr>
          <w:rFonts w:ascii="Calibri" w:eastAsia="Times New Roman" w:hAnsi="Calibri" w:cs="Times New Roman"/>
          <w:i/>
          <w:iCs/>
          <w:sz w:val="36"/>
          <w:szCs w:val="24"/>
        </w:rPr>
        <w:t>Summary Report into Frog Populations</w:t>
      </w:r>
    </w:p>
    <w:p w:rsidR="005E31AF" w:rsidRPr="005E31AF" w:rsidRDefault="005E31AF" w:rsidP="005E31AF">
      <w:pPr>
        <w:spacing w:after="720" w:line="240" w:lineRule="auto"/>
        <w:jc w:val="center"/>
        <w:rPr>
          <w:rFonts w:ascii="Calibri" w:eastAsia="Times New Roman" w:hAnsi="Calibri" w:cs="Times New Roman"/>
          <w:i/>
          <w:iCs/>
          <w:sz w:val="36"/>
          <w:szCs w:val="24"/>
        </w:rPr>
      </w:pPr>
    </w:p>
    <w:p w:rsidR="00B91E4D" w:rsidRDefault="00B91E4D"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sectPr w:rsidR="00B91E4D" w:rsidSect="00B91E4D">
          <w:pgSz w:w="11907" w:h="16840" w:code="9"/>
          <w:pgMar w:top="1797" w:right="1814" w:bottom="1803" w:left="1440" w:header="720" w:footer="720" w:gutter="0"/>
          <w:cols w:space="720" w:equalWidth="0">
            <w:col w:w="8653" w:space="720"/>
          </w:cols>
          <w:vAlign w:val="center"/>
          <w:docGrid w:linePitch="360"/>
        </w:sectPr>
      </w:pP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lastRenderedPageBreak/>
        <w:t>Introduction</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current status of the world’s health is a largely unknown factor and the collection of useful, comparative data is only in infancy. It is not yet possible to determine meaningful trends, due to this lack of data. One element of data collection involves monitoring frog populations.</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Analysing snapshots of frog populations enables a clearer picture of environmental health to be ascertained for, as we know, frogs are sensitive creatures and populations of the amphibians rapidly decline in poor environmental conditions. However, when the environment is in good health, populations generally flourish. In this way, the frog populations can be used as indicators of environmental (and more specifically, water) health.</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Alpheius Global Enterprises has been directly involved with a research project conducted by environmental monitoring group Environmental Equilibrium for Earth, (EEE) investigating the frog populations of the South East region over the last five years.</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research is conducted annually, over a two week period, and relies on local community involvement to assist in frog-spotting and recording. Members of EEE and volunteers record frog species in the many reservoirs of water (both natural and man</w:t>
      </w:r>
      <w:r w:rsidRPr="005E31AF">
        <w:rPr>
          <w:rFonts w:ascii="Calibri" w:eastAsia="Times New Roman" w:hAnsi="Calibri" w:cs="Times New Roman"/>
          <w:sz w:val="24"/>
          <w:szCs w:val="24"/>
        </w:rPr>
        <w:noBreakHyphen/>
        <w:t>made) and the data is later analysed and compared to previous years.</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It is hoped that with this research and the data that is generated, EEE can increase awareness of the state of our environment and lobby local government agencies for their support in programmes to maintain or achieve good health in local waterways and reservoirs.</w:t>
      </w: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AGE Commitment</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Alpheius Global Enterprises has, for the last five years, committed financially to the research project and also awards each member of staff a day off to volunteer their time for the collection of data. One hundred and twenty six employees were able to take advantage of this magnificent opportunity this year and the prospect of making this an ongoing arrangement is under consideration.</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At AGE, we believe whole-heartedly in sensible, forward-thinking and environmentally friendly approaches to business, so the concept of continuing involvement in the research of frog populations is taken very seriously.</w:t>
      </w: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Results for 2007</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In 2007, 1490 people were involved in the collection of frog data. These volunteers were divided into groups and the frog populations of 1200 different water sources were able </w:t>
      </w:r>
      <w:r w:rsidRPr="005E31AF">
        <w:rPr>
          <w:rFonts w:ascii="Calibri" w:eastAsia="Times New Roman" w:hAnsi="Calibri" w:cs="Times New Roman"/>
          <w:sz w:val="24"/>
          <w:szCs w:val="24"/>
        </w:rPr>
        <w:lastRenderedPageBreak/>
        <w:t>to be collected. This data was returned to EEE for comparisons to previous years and the results were as follows:</w:t>
      </w:r>
    </w:p>
    <w:p w:rsidR="005E31AF" w:rsidRPr="005E31AF" w:rsidRDefault="005E31AF" w:rsidP="005E31AF">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Species recorded:</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Trilling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Shoemaker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5E31AF" w:rsidRPr="005E31AF" w:rsidRDefault="005E31AF" w:rsidP="005E31AF">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Numbers Recorded:</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286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123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23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145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35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74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90 </w:t>
      </w:r>
      <w:r w:rsidRPr="005E31AF">
        <w:rPr>
          <w:rFonts w:ascii="Calibri" w:eastAsia="Times New Roman" w:hAnsi="Calibri" w:cs="Times New Roman"/>
          <w:sz w:val="20"/>
          <w:szCs w:val="24"/>
        </w:rPr>
        <w:noBreakHyphen/>
        <w:t xml:space="preserve"> 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22 </w:t>
      </w:r>
      <w:r w:rsidRPr="005E31AF">
        <w:rPr>
          <w:rFonts w:ascii="Calibri" w:eastAsia="Times New Roman" w:hAnsi="Calibri" w:cs="Times New Roman"/>
          <w:sz w:val="20"/>
          <w:szCs w:val="24"/>
        </w:rPr>
        <w:noBreakHyphen/>
        <w:t xml:space="preserve"> 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8 </w:t>
      </w:r>
      <w:r w:rsidRPr="005E31AF">
        <w:rPr>
          <w:rFonts w:ascii="Calibri" w:eastAsia="Times New Roman" w:hAnsi="Calibri" w:cs="Times New Roman"/>
          <w:sz w:val="20"/>
          <w:szCs w:val="24"/>
        </w:rPr>
        <w:noBreakHyphen/>
        <w:t xml:space="preserve"> Trilling Frog (</w:t>
      </w:r>
      <w:proofErr w:type="spellStart"/>
      <w:r w:rsidRPr="005E31AF">
        <w:rPr>
          <w:rFonts w:ascii="Calibri" w:eastAsia="Times New Roman" w:hAnsi="Calibri" w:cs="Times New Roman"/>
          <w:i/>
          <w:sz w:val="20"/>
          <w:szCs w:val="24"/>
        </w:rPr>
        <w:t>N.centralis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55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17 </w:t>
      </w:r>
      <w:r w:rsidRPr="005E31AF">
        <w:rPr>
          <w:rFonts w:ascii="Calibri" w:eastAsia="Times New Roman" w:hAnsi="Calibri" w:cs="Times New Roman"/>
          <w:sz w:val="20"/>
          <w:szCs w:val="24"/>
        </w:rPr>
        <w:noBreakHyphen/>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38 </w:t>
      </w:r>
      <w:r w:rsidRPr="005E31AF">
        <w:rPr>
          <w:rFonts w:ascii="Calibri" w:eastAsia="Times New Roman" w:hAnsi="Calibri" w:cs="Times New Roman"/>
          <w:sz w:val="20"/>
          <w:szCs w:val="24"/>
        </w:rPr>
        <w:noBreakHyphen/>
        <w:t xml:space="preserve"> 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31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5E31AF" w:rsidRPr="005E31AF" w:rsidRDefault="005E31AF" w:rsidP="005E31AF">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lastRenderedPageBreak/>
        <w:t>Comparison to Previous Years:</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12.5%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3.5%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5.25%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4.1%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2.25%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 xml:space="preserve">N.s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3.25%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7%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6.7%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Up 3.4</w:t>
      </w:r>
      <w:proofErr w:type="gramStart"/>
      <w:r w:rsidRPr="005E31AF">
        <w:rPr>
          <w:rFonts w:ascii="Calibri" w:eastAsia="Times New Roman" w:hAnsi="Calibri" w:cs="Times New Roman"/>
          <w:sz w:val="20"/>
          <w:szCs w:val="24"/>
        </w:rPr>
        <w:t xml:space="preserve">%  </w:t>
      </w:r>
      <w:r w:rsidRPr="005E31AF">
        <w:rPr>
          <w:rFonts w:ascii="Calibri" w:eastAsia="Times New Roman" w:hAnsi="Calibri" w:cs="Times New Roman"/>
          <w:sz w:val="20"/>
          <w:szCs w:val="24"/>
        </w:rPr>
        <w:noBreakHyphen/>
      </w:r>
      <w:proofErr w:type="gramEnd"/>
      <w:r w:rsidRPr="005E31AF">
        <w:rPr>
          <w:rFonts w:ascii="Calibri" w:eastAsia="Times New Roman" w:hAnsi="Calibri" w:cs="Times New Roman"/>
          <w:sz w:val="20"/>
          <w:szCs w:val="24"/>
        </w:rPr>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 xml:space="preserve">C.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15%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What Does This Mean</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numbers varied considerably depending on the location of the water source. For instance, the different sources assessed included sheep dips, creeks, flooded plains, toilets, swimming pools and billabongs. Obviously the population levels in toilets and swimming pools were somewhat lower than those of the billabongs and flooded plains.</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Sadly, it was found that many of the habitats have suffered degradation due to continued human activity including poor storm water diversion, excessive clearance of vegetation, excessive grazing of livestock, agricultural spraying and the introduction of exotic species.</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welcoming increase in population was recorded for both the Green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caerulea</w:t>
      </w:r>
      <w:proofErr w:type="spellEnd"/>
      <w:r w:rsidRPr="005E31AF">
        <w:rPr>
          <w:rFonts w:ascii="Calibri" w:eastAsia="Times New Roman" w:hAnsi="Calibri" w:cs="Times New Roman"/>
          <w:sz w:val="24"/>
          <w:szCs w:val="24"/>
        </w:rPr>
        <w:t>) and Water Holding Frog (</w:t>
      </w:r>
      <w:proofErr w:type="spellStart"/>
      <w:r w:rsidRPr="005E31AF">
        <w:rPr>
          <w:rFonts w:ascii="Calibri" w:eastAsia="Times New Roman" w:hAnsi="Calibri" w:cs="Times New Roman"/>
          <w:i/>
          <w:sz w:val="24"/>
          <w:szCs w:val="24"/>
        </w:rPr>
        <w:t>Cyclorana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platycephala</w:t>
      </w:r>
      <w:proofErr w:type="spellEnd"/>
      <w:r w:rsidRPr="005E31AF">
        <w:rPr>
          <w:rFonts w:ascii="Calibri" w:eastAsia="Times New Roman" w:hAnsi="Calibri" w:cs="Times New Roman"/>
          <w:sz w:val="24"/>
          <w:szCs w:val="24"/>
        </w:rPr>
        <w:t>). The Green Tree Frog is a species that easily adapts to the increasing expansion of human populations and is thereby not as strong an indicator for the environmental health of its region as the Water Holding Frog. This species is extremely sensitive to human interventions and would therefore tend to represent an improvement in the habitats in which it was recorded.</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A significant reduction in the numbers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w:t>
      </w:r>
      <w:proofErr w:type="spellStart"/>
      <w:r w:rsidRPr="005E31AF">
        <w:rPr>
          <w:rFonts w:ascii="Calibri" w:eastAsia="Times New Roman" w:hAnsi="Calibri" w:cs="Times New Roman"/>
          <w:i/>
          <w:sz w:val="24"/>
          <w:szCs w:val="24"/>
        </w:rPr>
        <w:t>Crinia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signifera</w:t>
      </w:r>
      <w:proofErr w:type="spellEnd"/>
      <w:r w:rsidRPr="005E31AF">
        <w:rPr>
          <w:rFonts w:ascii="Calibri" w:eastAsia="Times New Roman" w:hAnsi="Calibri" w:cs="Times New Roman"/>
          <w:sz w:val="24"/>
          <w:szCs w:val="24"/>
        </w:rPr>
        <w:t>), Desert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rubella</w:t>
      </w:r>
      <w:r w:rsidRPr="005E31AF">
        <w:rPr>
          <w:rFonts w:ascii="Calibri" w:eastAsia="Times New Roman" w:hAnsi="Calibri" w:cs="Times New Roman"/>
          <w:sz w:val="24"/>
          <w:szCs w:val="24"/>
        </w:rPr>
        <w:t>) and Spencer’s Frog (</w:t>
      </w:r>
      <w:r w:rsidRPr="005E31AF">
        <w:rPr>
          <w:rFonts w:ascii="Calibri" w:eastAsia="Times New Roman" w:hAnsi="Calibri" w:cs="Times New Roman"/>
          <w:i/>
          <w:sz w:val="24"/>
          <w:szCs w:val="24"/>
        </w:rPr>
        <w:t xml:space="preserve">L. </w:t>
      </w:r>
      <w:proofErr w:type="spellStart"/>
      <w:r w:rsidRPr="005E31AF">
        <w:rPr>
          <w:rFonts w:ascii="Calibri" w:eastAsia="Times New Roman" w:hAnsi="Calibri" w:cs="Times New Roman"/>
          <w:i/>
          <w:sz w:val="24"/>
          <w:szCs w:val="24"/>
        </w:rPr>
        <w:t>spenceri</w:t>
      </w:r>
      <w:proofErr w:type="spellEnd"/>
      <w:r w:rsidRPr="005E31AF">
        <w:rPr>
          <w:rFonts w:ascii="Calibri" w:eastAsia="Times New Roman" w:hAnsi="Calibri" w:cs="Times New Roman"/>
          <w:sz w:val="24"/>
          <w:szCs w:val="24"/>
        </w:rPr>
        <w:t xml:space="preserve">) is a worrying indicator of the state of the environmental health of these regions.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typically a species uncommonly resilient to changes within its environment so it, in particular, is of concern. It is a widely spread species that easily travels overland to populate new bodies </w:t>
      </w:r>
      <w:bookmarkStart w:id="0" w:name="_GoBack"/>
      <w:bookmarkEnd w:id="0"/>
      <w:r w:rsidRPr="005E31AF">
        <w:rPr>
          <w:rFonts w:ascii="Calibri" w:eastAsia="Times New Roman" w:hAnsi="Calibri" w:cs="Times New Roman"/>
          <w:sz w:val="24"/>
          <w:szCs w:val="24"/>
        </w:rPr>
        <w:lastRenderedPageBreak/>
        <w:t xml:space="preserve">of water. The overall reduction in the recordings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a clear indicator that further analyses of these habitats should be undertaken.</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Uncommonly low levels of rainfall in arid regions would tend to account for the reduced levels of the Desert Tree Frog, renowned for adopting a state of hibernation when conditions are less than ideal.</w:t>
      </w:r>
    </w:p>
    <w:p w:rsidR="00643CC7" w:rsidRDefault="00643CC7" w:rsidP="005E31AF">
      <w:pPr>
        <w:keepNext/>
        <w:spacing w:before="240" w:after="120" w:line="240" w:lineRule="auto"/>
        <w:outlineLvl w:val="1"/>
        <w:rPr>
          <w:rFonts w:ascii="Calibri" w:eastAsia="Times New Roman" w:hAnsi="Calibri" w:cs="Arial"/>
          <w:b/>
          <w:bCs/>
          <w:i/>
          <w:iCs/>
          <w:sz w:val="28"/>
          <w:szCs w:val="28"/>
        </w:rPr>
        <w:sectPr w:rsidR="00643CC7" w:rsidSect="005E31AF">
          <w:pgSz w:w="11907" w:h="16840" w:code="9"/>
          <w:pgMar w:top="1797" w:right="1814" w:bottom="1803" w:left="1440" w:header="720" w:footer="720" w:gutter="0"/>
          <w:cols w:space="720" w:equalWidth="0">
            <w:col w:w="8653" w:space="720"/>
          </w:cols>
          <w:docGrid w:linePitch="360"/>
        </w:sectPr>
      </w:pPr>
    </w:p>
    <w:p w:rsidR="005E31AF" w:rsidRPr="005E31AF" w:rsidRDefault="005E31AF" w:rsidP="005E31AF">
      <w:pPr>
        <w:keepNext/>
        <w:spacing w:before="240" w:after="120" w:line="240" w:lineRule="auto"/>
        <w:outlineLvl w:val="1"/>
        <w:rPr>
          <w:rFonts w:ascii="Calibri" w:eastAsia="Times New Roman" w:hAnsi="Calibri" w:cs="Arial"/>
          <w:b/>
          <w:bCs/>
          <w:i/>
          <w:iCs/>
          <w:sz w:val="28"/>
          <w:szCs w:val="28"/>
        </w:rPr>
      </w:pPr>
      <w:r w:rsidRPr="005E31AF">
        <w:rPr>
          <w:rFonts w:ascii="Calibri" w:eastAsia="Times New Roman" w:hAnsi="Calibri" w:cs="Arial"/>
          <w:b/>
          <w:bCs/>
          <w:i/>
          <w:iCs/>
          <w:sz w:val="28"/>
          <w:szCs w:val="28"/>
        </w:rPr>
        <w:lastRenderedPageBreak/>
        <w:t>For Further Information:</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We can be contacted at the following locations</w:t>
      </w:r>
    </w:p>
    <w:p w:rsidR="0012498E" w:rsidRDefault="0012498E" w:rsidP="005E31AF">
      <w:pPr>
        <w:spacing w:after="240" w:line="240" w:lineRule="auto"/>
        <w:rPr>
          <w:rFonts w:ascii="Calibri" w:eastAsia="Times New Roman" w:hAnsi="Calibri" w:cs="Times New Roman"/>
          <w:b/>
          <w:szCs w:val="20"/>
        </w:rPr>
        <w:sectPr w:rsidR="0012498E" w:rsidSect="00643CC7">
          <w:type w:val="evenPage"/>
          <w:pgSz w:w="11907" w:h="16840" w:code="9"/>
          <w:pgMar w:top="1797" w:right="1814" w:bottom="1803" w:left="1440" w:header="720" w:footer="720" w:gutter="0"/>
          <w:cols w:space="720" w:equalWidth="0">
            <w:col w:w="8653" w:space="720"/>
          </w:cols>
          <w:docGrid w:linePitch="360"/>
        </w:sectPr>
      </w:pPr>
    </w:p>
    <w:p w:rsidR="005E31AF" w:rsidRPr="005E31AF" w:rsidRDefault="005E31AF" w:rsidP="005E31AF">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lastRenderedPageBreak/>
        <w:t>New York</w:t>
      </w:r>
      <w:r w:rsidRPr="005E31AF">
        <w:rPr>
          <w:rFonts w:ascii="Calibri" w:eastAsia="Times New Roman" w:hAnsi="Calibri" w:cs="Times New Roman"/>
          <w:szCs w:val="20"/>
        </w:rPr>
        <w:br/>
        <w:t xml:space="preserve">Alpheius Global Enterprises </w:t>
      </w:r>
      <w:proofErr w:type="spellStart"/>
      <w:r w:rsidRPr="005E31AF">
        <w:rPr>
          <w:rFonts w:ascii="Calibri" w:eastAsia="Times New Roman" w:hAnsi="Calibri" w:cs="Times New Roman"/>
          <w:szCs w:val="20"/>
        </w:rPr>
        <w:t>Inc</w:t>
      </w:r>
      <w:proofErr w:type="spellEnd"/>
      <w:r w:rsidRPr="005E31AF">
        <w:rPr>
          <w:rFonts w:ascii="Calibri" w:eastAsia="Times New Roman" w:hAnsi="Calibri" w:cs="Times New Roman"/>
          <w:szCs w:val="20"/>
        </w:rPr>
        <w:br/>
        <w:t>72 Gardner Avenue</w:t>
      </w:r>
      <w:r w:rsidRPr="005E31AF">
        <w:rPr>
          <w:rFonts w:ascii="Calibri" w:eastAsia="Times New Roman" w:hAnsi="Calibri" w:cs="Times New Roman"/>
          <w:szCs w:val="20"/>
        </w:rPr>
        <w:br/>
        <w:t>Brooklyn</w:t>
      </w:r>
      <w:r w:rsidRPr="005E31AF">
        <w:rPr>
          <w:rFonts w:ascii="Calibri" w:eastAsia="Times New Roman" w:hAnsi="Calibri" w:cs="Times New Roman"/>
          <w:szCs w:val="20"/>
        </w:rPr>
        <w:br/>
        <w:t>NY11222</w:t>
      </w:r>
      <w:r w:rsidRPr="005E31AF">
        <w:rPr>
          <w:rFonts w:ascii="Calibri" w:eastAsia="Times New Roman" w:hAnsi="Calibri" w:cs="Times New Roman"/>
          <w:szCs w:val="20"/>
        </w:rPr>
        <w:br/>
        <w:t>United States of America</w:t>
      </w:r>
      <w:r w:rsidRPr="005E31AF">
        <w:rPr>
          <w:rFonts w:ascii="Calibri" w:eastAsia="Times New Roman" w:hAnsi="Calibri" w:cs="Times New Roman"/>
          <w:szCs w:val="20"/>
        </w:rPr>
        <w:br/>
        <w:t>Telephone: +1 (718) 387 5210</w:t>
      </w:r>
      <w:r w:rsidRPr="005E31AF">
        <w:rPr>
          <w:rFonts w:ascii="Calibri" w:eastAsia="Times New Roman" w:hAnsi="Calibri" w:cs="Times New Roman"/>
          <w:szCs w:val="20"/>
        </w:rPr>
        <w:br/>
        <w:t>Facsimile: +1 (718) 387 5216</w:t>
      </w:r>
      <w:r w:rsidRPr="005E31AF">
        <w:rPr>
          <w:rFonts w:ascii="Calibri" w:eastAsia="Times New Roman" w:hAnsi="Calibri" w:cs="Times New Roman"/>
          <w:szCs w:val="20"/>
        </w:rPr>
        <w:br/>
        <w:t>Web site: www.alpheiusge.com</w:t>
      </w:r>
    </w:p>
    <w:p w:rsidR="005E31AF" w:rsidRPr="005E31AF" w:rsidRDefault="005E31AF" w:rsidP="005E31AF">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Paris</w:t>
          </w:r>
        </w:smartTag>
      </w:smartTag>
      <w:r w:rsidRPr="005E31AF">
        <w:rPr>
          <w:rFonts w:ascii="Calibri" w:eastAsia="Times New Roman" w:hAnsi="Calibri" w:cs="Times New Roman"/>
          <w:szCs w:val="20"/>
        </w:rPr>
        <w:br/>
        <w:t>Alpheius Global Enterprises</w:t>
      </w:r>
      <w:r w:rsidRPr="005E31AF">
        <w:rPr>
          <w:rFonts w:ascii="Calibri" w:eastAsia="Times New Roman" w:hAnsi="Calibri" w:cs="Times New Roman"/>
          <w:szCs w:val="20"/>
        </w:rPr>
        <w:br/>
        <w:t>567 rue Lauriston</w:t>
      </w:r>
      <w:r w:rsidRPr="005E31AF">
        <w:rPr>
          <w:rFonts w:ascii="Calibri" w:eastAsia="Times New Roman" w:hAnsi="Calibri" w:cs="Times New Roman"/>
          <w:szCs w:val="20"/>
        </w:rPr>
        <w:br/>
        <w:t xml:space="preserve">75116 </w:t>
      </w:r>
      <w:smartTag w:uri="urn:schemas-microsoft-com:office:smarttags" w:element="City">
        <w:smartTag w:uri="urn:schemas-microsoft-com:office:smarttags" w:element="place">
          <w:r w:rsidRPr="005E31AF">
            <w:rPr>
              <w:rFonts w:ascii="Calibri" w:eastAsia="Times New Roman" w:hAnsi="Calibri" w:cs="Times New Roman"/>
              <w:szCs w:val="20"/>
            </w:rPr>
            <w:t>Paris</w:t>
          </w:r>
        </w:smartTag>
      </w:smartTag>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France</w:t>
          </w:r>
        </w:smartTag>
      </w:smartTag>
      <w:r w:rsidRPr="005E31AF">
        <w:rPr>
          <w:rFonts w:ascii="Calibri" w:eastAsia="Times New Roman" w:hAnsi="Calibri" w:cs="Times New Roman"/>
          <w:szCs w:val="20"/>
        </w:rPr>
        <w:br/>
        <w:t>Telephone: +33 1 35.66.02.56</w:t>
      </w:r>
      <w:r w:rsidRPr="005E31AF">
        <w:rPr>
          <w:rFonts w:ascii="Calibri" w:eastAsia="Times New Roman" w:hAnsi="Calibri" w:cs="Times New Roman"/>
          <w:szCs w:val="20"/>
        </w:rPr>
        <w:br/>
        <w:t>Facsimile: +33 1 35.66.02.78</w:t>
      </w:r>
      <w:r w:rsidRPr="005E31AF">
        <w:rPr>
          <w:rFonts w:ascii="Calibri" w:eastAsia="Times New Roman" w:hAnsi="Calibri" w:cs="Times New Roman"/>
          <w:szCs w:val="20"/>
        </w:rPr>
        <w:br/>
        <w:t xml:space="preserve">Web site: www.alpheiusge.fr </w:t>
      </w:r>
    </w:p>
    <w:p w:rsidR="005E31AF" w:rsidRPr="005E31AF" w:rsidRDefault="005E31AF" w:rsidP="005E31AF">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Dublin</w:t>
          </w:r>
        </w:smartTag>
      </w:smartTag>
      <w:r w:rsidRPr="005E31AF">
        <w:rPr>
          <w:rFonts w:ascii="Calibri" w:eastAsia="Times New Roman" w:hAnsi="Calibri" w:cs="Times New Roman"/>
          <w:szCs w:val="20"/>
        </w:rPr>
        <w:br/>
        <w:t>Alpheius Global Enterprises</w:t>
      </w:r>
      <w:r w:rsidRPr="005E31AF">
        <w:rPr>
          <w:rFonts w:ascii="Calibri" w:eastAsia="Times New Roman" w:hAnsi="Calibri" w:cs="Times New Roman"/>
          <w:szCs w:val="20"/>
        </w:rPr>
        <w:br/>
        <w:t xml:space="preserve">124 </w:t>
      </w:r>
      <w:smartTag w:uri="urn:schemas-microsoft-com:office:smarttags" w:element="Street">
        <w:r w:rsidRPr="005E31AF">
          <w:rPr>
            <w:rFonts w:ascii="Calibri" w:eastAsia="Times New Roman" w:hAnsi="Calibri" w:cs="Times New Roman"/>
            <w:szCs w:val="20"/>
          </w:rPr>
          <w:t>Upper Abbey Street</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Dublin</w:t>
        </w:r>
      </w:smartTag>
      <w:r w:rsidRPr="005E31AF">
        <w:rPr>
          <w:rFonts w:ascii="Calibri" w:eastAsia="Times New Roman" w:hAnsi="Calibri" w:cs="Times New Roman"/>
          <w:szCs w:val="20"/>
        </w:rPr>
        <w:t xml:space="preserve"> 1</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Ireland</w:t>
          </w:r>
        </w:smartTag>
      </w:smartTag>
      <w:r w:rsidRPr="005E31AF">
        <w:rPr>
          <w:rFonts w:ascii="Calibri" w:eastAsia="Times New Roman" w:hAnsi="Calibri" w:cs="Times New Roman"/>
          <w:szCs w:val="20"/>
        </w:rPr>
        <w:br/>
        <w:t>Telephone: +353 1 873 6556</w:t>
      </w:r>
      <w:r w:rsidRPr="005E31AF">
        <w:rPr>
          <w:rFonts w:ascii="Calibri" w:eastAsia="Times New Roman" w:hAnsi="Calibri" w:cs="Times New Roman"/>
          <w:szCs w:val="20"/>
        </w:rPr>
        <w:br/>
        <w:t>Facsimile: +353 1 873 6557</w:t>
      </w:r>
      <w:r w:rsidRPr="005E31AF">
        <w:rPr>
          <w:rFonts w:ascii="Calibri" w:eastAsia="Times New Roman" w:hAnsi="Calibri" w:cs="Times New Roman"/>
          <w:szCs w:val="20"/>
        </w:rPr>
        <w:br/>
        <w:t>Web site: www.alpheiusge.ie</w:t>
      </w:r>
    </w:p>
    <w:p w:rsidR="005E31AF" w:rsidRPr="005E31AF" w:rsidRDefault="005E31AF" w:rsidP="005E31AF">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Auckland</w:t>
      </w:r>
      <w:r w:rsidRPr="005E31AF">
        <w:rPr>
          <w:rFonts w:ascii="Calibri" w:eastAsia="Times New Roman" w:hAnsi="Calibri" w:cs="Times New Roman"/>
          <w:szCs w:val="20"/>
        </w:rPr>
        <w:br/>
        <w:t>Alpheius Global Enterprises Limited</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Suite</w:t>
        </w:r>
      </w:smartTag>
      <w:r w:rsidRPr="005E31AF">
        <w:rPr>
          <w:rFonts w:ascii="Calibri" w:eastAsia="Times New Roman" w:hAnsi="Calibri" w:cs="Times New Roman"/>
          <w:szCs w:val="20"/>
        </w:rPr>
        <w:t xml:space="preserve"> 206</w:t>
      </w:r>
      <w:r w:rsidRPr="005E31AF">
        <w:rPr>
          <w:rFonts w:ascii="Calibri" w:eastAsia="Times New Roman" w:hAnsi="Calibri" w:cs="Times New Roman"/>
          <w:szCs w:val="20"/>
        </w:rPr>
        <w:br/>
        <w:t>Level 2</w:t>
      </w:r>
      <w:r w:rsidRPr="005E31AF">
        <w:rPr>
          <w:rFonts w:ascii="Calibri" w:eastAsia="Times New Roman" w:hAnsi="Calibri" w:cs="Times New Roman"/>
          <w:szCs w:val="20"/>
        </w:rPr>
        <w:br/>
        <w:t xml:space="preserve">66 </w:t>
      </w:r>
      <w:proofErr w:type="spellStart"/>
      <w:r w:rsidRPr="005E31AF">
        <w:rPr>
          <w:rFonts w:ascii="Calibri" w:eastAsia="Times New Roman" w:hAnsi="Calibri" w:cs="Times New Roman"/>
          <w:szCs w:val="20"/>
        </w:rPr>
        <w:t>Waitikoki</w:t>
      </w:r>
      <w:proofErr w:type="spellEnd"/>
      <w:r w:rsidRPr="005E31AF">
        <w:rPr>
          <w:rFonts w:ascii="Calibri" w:eastAsia="Times New Roman" w:hAnsi="Calibri" w:cs="Times New Roman"/>
          <w:szCs w:val="20"/>
        </w:rPr>
        <w:t xml:space="preserve"> Bay Road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Takapuna</w:t>
      </w:r>
      <w:proofErr w:type="spellEnd"/>
      <w:r w:rsidRPr="005E31AF">
        <w:rPr>
          <w:rFonts w:ascii="Calibri" w:eastAsia="Times New Roman" w:hAnsi="Calibri" w:cs="Times New Roman"/>
          <w:szCs w:val="20"/>
        </w:rPr>
        <w:br/>
        <w:t>Auckland</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New Zealand</w:t>
          </w:r>
        </w:smartTag>
      </w:smartTag>
      <w:r w:rsidRPr="005E31AF">
        <w:rPr>
          <w:rFonts w:ascii="Calibri" w:eastAsia="Times New Roman" w:hAnsi="Calibri" w:cs="Times New Roman"/>
          <w:szCs w:val="20"/>
        </w:rPr>
        <w:br/>
        <w:t>Telephone: +64 9 344 0200</w:t>
      </w:r>
      <w:r w:rsidRPr="005E31AF">
        <w:rPr>
          <w:rFonts w:ascii="Calibri" w:eastAsia="Times New Roman" w:hAnsi="Calibri" w:cs="Times New Roman"/>
          <w:szCs w:val="20"/>
        </w:rPr>
        <w:br/>
        <w:t>Facsimile: +64 9 344 0201</w:t>
      </w:r>
      <w:r w:rsidRPr="005E31AF">
        <w:rPr>
          <w:rFonts w:ascii="Calibri" w:eastAsia="Times New Roman" w:hAnsi="Calibri" w:cs="Times New Roman"/>
          <w:szCs w:val="20"/>
        </w:rPr>
        <w:br/>
        <w:t>Web site: www.alpheiusge.com.nz</w:t>
      </w:r>
    </w:p>
    <w:p w:rsidR="00080678" w:rsidRPr="005E31AF" w:rsidRDefault="005E31AF" w:rsidP="005E31AF">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Melbourne</w:t>
      </w:r>
      <w:r w:rsidRPr="005E31AF">
        <w:rPr>
          <w:rFonts w:ascii="Calibri" w:eastAsia="Times New Roman" w:hAnsi="Calibri" w:cs="Times New Roman"/>
          <w:szCs w:val="20"/>
        </w:rPr>
        <w:br/>
        <w:t>Alpheius Global Enterprises Pty Ltd</w:t>
      </w:r>
      <w:r w:rsidRPr="005E31AF">
        <w:rPr>
          <w:rFonts w:ascii="Calibri" w:eastAsia="Times New Roman" w:hAnsi="Calibri" w:cs="Times New Roman"/>
          <w:szCs w:val="20"/>
        </w:rPr>
        <w:br/>
        <w:t>Alpheius House</w:t>
      </w:r>
      <w:r w:rsidRPr="005E31AF">
        <w:rPr>
          <w:rFonts w:ascii="Calibri" w:eastAsia="Times New Roman" w:hAnsi="Calibri" w:cs="Times New Roman"/>
          <w:szCs w:val="20"/>
        </w:rPr>
        <w:br/>
        <w:t>414 St Edmonds Road</w:t>
      </w:r>
      <w:r w:rsidRPr="005E31AF">
        <w:rPr>
          <w:rFonts w:ascii="Calibri" w:eastAsia="Times New Roman" w:hAnsi="Calibri" w:cs="Times New Roman"/>
          <w:szCs w:val="20"/>
        </w:rPr>
        <w:br/>
        <w:t>Melbourne</w:t>
      </w:r>
      <w:r w:rsidRPr="005E31AF">
        <w:rPr>
          <w:rFonts w:ascii="Calibri" w:eastAsia="Times New Roman" w:hAnsi="Calibri" w:cs="Times New Roman"/>
          <w:szCs w:val="20"/>
        </w:rPr>
        <w:br/>
      </w:r>
      <w:r w:rsidRPr="005E31AF">
        <w:rPr>
          <w:rFonts w:ascii="Calibri" w:eastAsia="Times New Roman" w:hAnsi="Calibri" w:cs="Times New Roman"/>
          <w:szCs w:val="20"/>
        </w:rPr>
        <w:lastRenderedPageBreak/>
        <w:t>Victoria 3004</w:t>
      </w:r>
      <w:r w:rsidRPr="005E31AF">
        <w:rPr>
          <w:rFonts w:ascii="Calibri" w:eastAsia="Times New Roman" w:hAnsi="Calibri" w:cs="Times New Roman"/>
          <w:szCs w:val="20"/>
        </w:rPr>
        <w:br/>
        <w:t>Australia</w:t>
      </w:r>
      <w:r w:rsidRPr="005E31AF">
        <w:rPr>
          <w:rFonts w:ascii="Calibri" w:eastAsia="Times New Roman" w:hAnsi="Calibri" w:cs="Times New Roman"/>
          <w:szCs w:val="20"/>
        </w:rPr>
        <w:br/>
        <w:t>Telephone: +61 3 9844 0000</w:t>
      </w:r>
      <w:r w:rsidRPr="005E31AF">
        <w:rPr>
          <w:rFonts w:ascii="Calibri" w:eastAsia="Times New Roman" w:hAnsi="Calibri" w:cs="Times New Roman"/>
          <w:szCs w:val="20"/>
        </w:rPr>
        <w:br/>
        <w:t>Facsimile: +61 3 9844 0001</w:t>
      </w:r>
      <w:r w:rsidRPr="005E31AF">
        <w:rPr>
          <w:rFonts w:ascii="Calibri" w:eastAsia="Times New Roman" w:hAnsi="Calibri" w:cs="Times New Roman"/>
          <w:szCs w:val="20"/>
        </w:rPr>
        <w:br/>
        <w:t>Web site: www.alpheiusge.com.au</w:t>
      </w:r>
    </w:p>
    <w:p w:rsidR="005E31AF" w:rsidRPr="005E31AF" w:rsidRDefault="005E31AF" w:rsidP="005E31AF">
      <w:pPr>
        <w:spacing w:after="120" w:line="240" w:lineRule="auto"/>
        <w:rPr>
          <w:rFonts w:ascii="Calibri" w:eastAsia="Times New Roman" w:hAnsi="Calibri" w:cs="Times New Roman"/>
          <w:sz w:val="24"/>
          <w:szCs w:val="24"/>
        </w:rPr>
      </w:pPr>
    </w:p>
    <w:p w:rsidR="006C5D95" w:rsidRDefault="00AC52C7"/>
    <w:sectPr w:rsidR="006C5D95" w:rsidSect="0012498E">
      <w:type w:val="continuous"/>
      <w:pgSz w:w="11907" w:h="16840" w:code="9"/>
      <w:pgMar w:top="1797" w:right="1814" w:bottom="1803"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1AF"/>
    <w:rsid w:val="00080678"/>
    <w:rsid w:val="0012498E"/>
    <w:rsid w:val="00395517"/>
    <w:rsid w:val="005E31AF"/>
    <w:rsid w:val="00603C69"/>
    <w:rsid w:val="00605F21"/>
    <w:rsid w:val="00643CC7"/>
    <w:rsid w:val="00713497"/>
    <w:rsid w:val="00801534"/>
    <w:rsid w:val="00A02E2C"/>
    <w:rsid w:val="00A53F33"/>
    <w:rsid w:val="00AB1A26"/>
    <w:rsid w:val="00AC52C7"/>
    <w:rsid w:val="00B91E4D"/>
    <w:rsid w:val="00D75A83"/>
    <w:rsid w:val="00DB34A5"/>
    <w:rsid w:val="00E31D40"/>
    <w:rsid w:val="00E4152F"/>
    <w:rsid w:val="00F170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styleId="Hyperlink">
    <w:name w:val="Hyperlink"/>
    <w:basedOn w:val="DefaultParagraphFont"/>
    <w:uiPriority w:val="99"/>
    <w:unhideWhenUsed/>
    <w:rsid w:val="000806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styleId="Hyperlink">
    <w:name w:val="Hyperlink"/>
    <w:basedOn w:val="DefaultParagraphFont"/>
    <w:uiPriority w:val="99"/>
    <w:unhideWhenUsed/>
    <w:rsid w:val="000806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998</Words>
  <Characters>6390</Characters>
  <Application>Microsoft Office Word</Application>
  <DocSecurity>0</DocSecurity>
  <Lines>6390</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2010-07-27T01:47:00Z</dcterms:created>
  <dcterms:modified xsi:type="dcterms:W3CDTF">2010-07-27T01:47:00Z</dcterms:modified>
</cp:coreProperties>
</file>