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1AF" w:rsidRPr="005E31AF" w:rsidRDefault="005E31AF" w:rsidP="005E31AF">
      <w:pPr>
        <w:spacing w:before="240" w:after="60" w:line="240" w:lineRule="auto"/>
        <w:jc w:val="center"/>
        <w:outlineLvl w:val="0"/>
        <w:rPr>
          <w:rFonts w:ascii="Calibri" w:eastAsia="Times New Roman" w:hAnsi="Calibri" w:cs="Arial"/>
          <w:b/>
          <w:bCs/>
          <w:kern w:val="28"/>
          <w:sz w:val="44"/>
          <w:szCs w:val="40"/>
        </w:rPr>
      </w:pPr>
      <w:r w:rsidRPr="005E31AF">
        <w:rPr>
          <w:rFonts w:ascii="Calibri" w:eastAsia="Times New Roman" w:hAnsi="Calibri" w:cs="Arial"/>
          <w:b/>
          <w:bCs/>
          <w:kern w:val="28"/>
          <w:sz w:val="44"/>
          <w:szCs w:val="40"/>
        </w:rPr>
        <w:t>Alpheius Global Enterprises</w:t>
      </w:r>
    </w:p>
    <w:p w:rsidR="005E31AF" w:rsidRPr="005E31AF" w:rsidRDefault="005E31AF" w:rsidP="005E31AF">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5E31AF" w:rsidRPr="005E31AF" w:rsidRDefault="005E31AF" w:rsidP="005E31AF">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eastAsia="en-AU"/>
        </w:rPr>
        <w:drawing>
          <wp:anchor distT="0" distB="0" distL="114300" distR="114300" simplePos="0" relativeHeight="251659264" behindDoc="0" locked="0" layoutInCell="1" allowOverlap="1" wp14:anchorId="3F418038" wp14:editId="4EE0BBEF">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6"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5E31AF" w:rsidRPr="005E31AF" w:rsidRDefault="005E31AF" w:rsidP="005E31AF">
      <w:pPr>
        <w:spacing w:after="720" w:line="240" w:lineRule="auto"/>
        <w:jc w:val="center"/>
        <w:rPr>
          <w:rFonts w:ascii="Calibri" w:eastAsia="Times New Roman" w:hAnsi="Calibri" w:cs="Times New Roman"/>
          <w:i/>
          <w:iCs/>
          <w:sz w:val="36"/>
          <w:szCs w:val="24"/>
        </w:rPr>
      </w:pP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Introduction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Alpheius Global Enterprises has been directly involved with a research project conducted by environmental monitoring group Environmental Equilibrium for Earth, (EEE) investigating the frog populations of the South East region over the last five years.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AGE Commitment</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Alpheius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In 2007, 1490 people were involved in the collection of frog data. These volunteers were divided into groups and the frog populations of 1200 different water sources were able to be collected. This data was returned to EEE for comparisons to previous years and the results were as follows:</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Common Froglet (</w:t>
      </w:r>
      <w:r w:rsidRPr="005E31AF">
        <w:rPr>
          <w:rFonts w:ascii="Calibri" w:eastAsia="Times New Roman" w:hAnsi="Calibri" w:cs="Times New Roman"/>
          <w:i/>
          <w:sz w:val="20"/>
          <w:szCs w:val="24"/>
        </w:rPr>
        <w:t>Crinia signifera</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L. tasmaniensis</w:t>
      </w:r>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r w:rsidRPr="005E31AF">
        <w:rPr>
          <w:rFonts w:ascii="Calibri" w:eastAsia="Times New Roman" w:hAnsi="Calibri" w:cs="Times New Roman"/>
          <w:i/>
          <w:sz w:val="20"/>
          <w:szCs w:val="24"/>
        </w:rPr>
        <w:t>Litoria ewingi</w:t>
      </w:r>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r w:rsidRPr="005E31AF">
        <w:rPr>
          <w:rFonts w:ascii="Calibri" w:eastAsia="Times New Roman" w:hAnsi="Calibri" w:cs="Times New Roman"/>
          <w:i/>
          <w:sz w:val="20"/>
          <w:szCs w:val="24"/>
        </w:rPr>
        <w:t>Litoria raniformis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r w:rsidRPr="005E31AF">
        <w:rPr>
          <w:rFonts w:ascii="Calibri" w:eastAsia="Times New Roman" w:hAnsi="Calibri" w:cs="Times New Roman"/>
          <w:i/>
          <w:sz w:val="20"/>
          <w:szCs w:val="24"/>
        </w:rPr>
        <w:t>Litoria caerulea</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r w:rsidRPr="005E31AF">
        <w:rPr>
          <w:rFonts w:ascii="Calibri" w:eastAsia="Times New Roman" w:hAnsi="Calibri" w:cs="Times New Roman"/>
          <w:i/>
          <w:sz w:val="20"/>
          <w:szCs w:val="24"/>
        </w:rPr>
        <w:t>Litoria peroni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L. fletcheri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r w:rsidRPr="005E31AF">
        <w:rPr>
          <w:rFonts w:ascii="Calibri" w:eastAsia="Times New Roman" w:hAnsi="Calibri" w:cs="Times New Roman"/>
          <w:i/>
          <w:sz w:val="20"/>
          <w:szCs w:val="24"/>
        </w:rPr>
        <w:t>Neobatrachus pictus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r w:rsidRPr="005E31AF">
        <w:rPr>
          <w:rFonts w:ascii="Calibri" w:eastAsia="Times New Roman" w:hAnsi="Calibri" w:cs="Times New Roman"/>
          <w:i/>
          <w:sz w:val="20"/>
          <w:szCs w:val="24"/>
        </w:rPr>
        <w:t>Limnodynastes peroni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r w:rsidRPr="005E31AF">
        <w:rPr>
          <w:rFonts w:ascii="Calibri" w:eastAsia="Times New Roman" w:hAnsi="Calibri" w:cs="Times New Roman"/>
          <w:i/>
          <w:sz w:val="20"/>
          <w:szCs w:val="24"/>
        </w:rPr>
        <w:t>Neobatrachus centralis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r w:rsidRPr="005E31AF">
        <w:rPr>
          <w:rFonts w:ascii="Calibri" w:eastAsia="Times New Roman" w:hAnsi="Calibri" w:cs="Times New Roman"/>
          <w:i/>
          <w:sz w:val="20"/>
          <w:szCs w:val="24"/>
        </w:rPr>
        <w:t>Geocrinia laevis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L. spenceri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r w:rsidRPr="005E31AF">
        <w:rPr>
          <w:rFonts w:ascii="Calibri" w:eastAsia="Times New Roman" w:hAnsi="Calibri" w:cs="Times New Roman"/>
          <w:i/>
          <w:sz w:val="20"/>
          <w:szCs w:val="24"/>
        </w:rPr>
        <w:t>Neobatrachus sutor</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r w:rsidRPr="005E31AF">
        <w:rPr>
          <w:rFonts w:ascii="Calibri" w:eastAsia="Times New Roman" w:hAnsi="Calibri" w:cs="Times New Roman"/>
          <w:i/>
          <w:sz w:val="20"/>
          <w:szCs w:val="24"/>
        </w:rPr>
        <w:t>Cyclorana platycephala</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r w:rsidRPr="005E31AF">
        <w:rPr>
          <w:rFonts w:ascii="Calibri" w:eastAsia="Times New Roman" w:hAnsi="Calibri" w:cs="Times New Roman"/>
          <w:i/>
          <w:sz w:val="20"/>
          <w:szCs w:val="24"/>
        </w:rPr>
        <w:t>Litoria rubella</w:t>
      </w:r>
      <w:r w:rsidRPr="005E31AF">
        <w:rPr>
          <w:rFonts w:ascii="Calibri" w:eastAsia="Times New Roman" w:hAnsi="Calibri" w:cs="Times New Roman"/>
          <w:sz w:val="20"/>
          <w:szCs w:val="24"/>
        </w:rPr>
        <w:t>)</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Froglet (</w:t>
      </w:r>
      <w:r w:rsidRPr="005E31AF">
        <w:rPr>
          <w:rFonts w:ascii="Calibri" w:eastAsia="Times New Roman" w:hAnsi="Calibri" w:cs="Times New Roman"/>
          <w:i/>
          <w:sz w:val="20"/>
          <w:szCs w:val="24"/>
        </w:rPr>
        <w:t>Crinia signifera</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L. tasmaniensis</w:t>
      </w:r>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r w:rsidRPr="005E31AF">
        <w:rPr>
          <w:rFonts w:ascii="Calibri" w:eastAsia="Times New Roman" w:hAnsi="Calibri" w:cs="Times New Roman"/>
          <w:i/>
          <w:sz w:val="20"/>
          <w:szCs w:val="24"/>
        </w:rPr>
        <w:t>Litoria ewingi</w:t>
      </w:r>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lastRenderedPageBreak/>
        <w:t xml:space="preserve">12 </w:t>
      </w:r>
      <w:r w:rsidRPr="005E31AF">
        <w:rPr>
          <w:rFonts w:ascii="Calibri" w:eastAsia="Times New Roman" w:hAnsi="Calibri" w:cs="Times New Roman"/>
          <w:sz w:val="20"/>
          <w:szCs w:val="24"/>
        </w:rPr>
        <w:noBreakHyphen/>
        <w:t xml:space="preserve"> Southern Bell Frog (</w:t>
      </w:r>
      <w:r w:rsidRPr="005E31AF">
        <w:rPr>
          <w:rFonts w:ascii="Calibri" w:eastAsia="Times New Roman" w:hAnsi="Calibri" w:cs="Times New Roman"/>
          <w:i/>
          <w:sz w:val="20"/>
          <w:szCs w:val="24"/>
        </w:rPr>
        <w:t>Litoria raniformis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r w:rsidRPr="005E31AF">
        <w:rPr>
          <w:rFonts w:ascii="Calibri" w:eastAsia="Times New Roman" w:hAnsi="Calibri" w:cs="Times New Roman"/>
          <w:i/>
          <w:sz w:val="20"/>
          <w:szCs w:val="24"/>
        </w:rPr>
        <w:t>Litoria caerulea</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r w:rsidRPr="005E31AF">
        <w:rPr>
          <w:rFonts w:ascii="Calibri" w:eastAsia="Times New Roman" w:hAnsi="Calibri" w:cs="Times New Roman"/>
          <w:i/>
          <w:sz w:val="20"/>
          <w:szCs w:val="24"/>
        </w:rPr>
        <w:t>Litoria peroni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L. fletcheri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Neobatrachus pictus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Limnodynastes peroni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N.centralis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r w:rsidRPr="005E31AF">
        <w:rPr>
          <w:rFonts w:ascii="Calibri" w:eastAsia="Times New Roman" w:hAnsi="Calibri" w:cs="Times New Roman"/>
          <w:i/>
          <w:sz w:val="20"/>
          <w:szCs w:val="24"/>
        </w:rPr>
        <w:t>Geocrinia laevis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L. spenceri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N. sutor</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Cyclorana platycephala</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r w:rsidRPr="005E31AF">
        <w:rPr>
          <w:rFonts w:ascii="Calibri" w:eastAsia="Times New Roman" w:hAnsi="Calibri" w:cs="Times New Roman"/>
          <w:i/>
          <w:sz w:val="20"/>
          <w:szCs w:val="24"/>
        </w:rPr>
        <w:t>Litoria rubella</w:t>
      </w:r>
      <w:r w:rsidRPr="005E31AF">
        <w:rPr>
          <w:rFonts w:ascii="Calibri" w:eastAsia="Times New Roman" w:hAnsi="Calibri" w:cs="Times New Roman"/>
          <w:sz w:val="20"/>
          <w:szCs w:val="24"/>
        </w:rPr>
        <w:t>)</w:t>
      </w:r>
    </w:p>
    <w:p w:rsidR="005E31AF" w:rsidRPr="005E31AF" w:rsidRDefault="005E31AF" w:rsidP="005E31AF">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Comparison to Previous Years:</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Froglet (</w:t>
      </w:r>
      <w:r w:rsidRPr="005E31AF">
        <w:rPr>
          <w:rFonts w:ascii="Calibri" w:eastAsia="Times New Roman" w:hAnsi="Calibri" w:cs="Times New Roman"/>
          <w:i/>
          <w:sz w:val="20"/>
          <w:szCs w:val="24"/>
        </w:rPr>
        <w:t>Crinia signifera</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L. tasmaniensis</w:t>
      </w:r>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r w:rsidRPr="005E31AF">
        <w:rPr>
          <w:rFonts w:ascii="Calibri" w:eastAsia="Times New Roman" w:hAnsi="Calibri" w:cs="Times New Roman"/>
          <w:i/>
          <w:sz w:val="20"/>
          <w:szCs w:val="24"/>
        </w:rPr>
        <w:t>Litoria ewingi</w:t>
      </w:r>
      <w:r w:rsidRPr="005E31AF">
        <w:rPr>
          <w:rFonts w:ascii="Arial" w:eastAsia="Times New Roman" w:hAnsi="Arial"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r w:rsidRPr="005E31AF">
        <w:rPr>
          <w:rFonts w:ascii="Calibri" w:eastAsia="Times New Roman" w:hAnsi="Calibri" w:cs="Times New Roman"/>
          <w:i/>
          <w:sz w:val="20"/>
          <w:szCs w:val="24"/>
        </w:rPr>
        <w:t>Litoria raniformis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r w:rsidRPr="005E31AF">
        <w:rPr>
          <w:rFonts w:ascii="Calibri" w:eastAsia="Times New Roman" w:hAnsi="Calibri" w:cs="Times New Roman"/>
          <w:i/>
          <w:sz w:val="20"/>
          <w:szCs w:val="24"/>
        </w:rPr>
        <w:t>Litoria caerulea</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r w:rsidRPr="005E31AF">
        <w:rPr>
          <w:rFonts w:ascii="Calibri" w:eastAsia="Times New Roman" w:hAnsi="Calibri" w:cs="Times New Roman"/>
          <w:i/>
          <w:sz w:val="20"/>
          <w:szCs w:val="24"/>
        </w:rPr>
        <w:t>Litoria peroni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L. fletcheri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N.s pictus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L. peroni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N. centralis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r w:rsidRPr="005E31AF">
        <w:rPr>
          <w:rFonts w:ascii="Calibri" w:eastAsia="Times New Roman" w:hAnsi="Calibri" w:cs="Times New Roman"/>
          <w:i/>
          <w:sz w:val="20"/>
          <w:szCs w:val="24"/>
        </w:rPr>
        <w:t>Geocrinia laevis</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L. spenceri</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N. sutor</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C. platycephala</w:t>
      </w:r>
      <w:r w:rsidRPr="005E31AF">
        <w:rPr>
          <w:rFonts w:ascii="Calibri" w:eastAsia="Times New Roman" w:hAnsi="Calibri" w:cs="Times New Roman"/>
          <w:sz w:val="20"/>
          <w:szCs w:val="24"/>
        </w:rPr>
        <w:t>)</w:t>
      </w:r>
    </w:p>
    <w:p w:rsidR="005E31AF" w:rsidRPr="005E31AF" w:rsidRDefault="005E31AF" w:rsidP="005E31AF">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r w:rsidRPr="005E31AF">
        <w:rPr>
          <w:rFonts w:ascii="Calibri" w:eastAsia="Times New Roman" w:hAnsi="Calibri" w:cs="Times New Roman"/>
          <w:i/>
          <w:sz w:val="20"/>
          <w:szCs w:val="24"/>
        </w:rPr>
        <w:t>Litoria rubella</w:t>
      </w:r>
      <w:r w:rsidRPr="005E31AF">
        <w:rPr>
          <w:rFonts w:ascii="Calibri" w:eastAsia="Times New Roman" w:hAnsi="Calibri" w:cs="Times New Roman"/>
          <w:sz w:val="20"/>
          <w:szCs w:val="24"/>
        </w:rPr>
        <w:t>)</w:t>
      </w:r>
    </w:p>
    <w:p w:rsidR="005E31AF" w:rsidRPr="005E31AF" w:rsidRDefault="005E31AF" w:rsidP="005E31AF">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Sadly, it was found that many of the habitats have suffered degradation due to continued human activity including poor storm water diversion, excessive clearance of </w:t>
      </w:r>
      <w:r w:rsidRPr="005E31AF">
        <w:rPr>
          <w:rFonts w:ascii="Calibri" w:eastAsia="Times New Roman" w:hAnsi="Calibri" w:cs="Times New Roman"/>
          <w:sz w:val="24"/>
          <w:szCs w:val="24"/>
        </w:rPr>
        <w:lastRenderedPageBreak/>
        <w:t>vegetation, excessive grazing of livestock, agricultural spraying and the introduction of exotic species.</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r w:rsidRPr="005E31AF">
        <w:rPr>
          <w:rFonts w:ascii="Calibri" w:eastAsia="Times New Roman" w:hAnsi="Calibri" w:cs="Times New Roman"/>
          <w:i/>
          <w:sz w:val="24"/>
          <w:szCs w:val="24"/>
        </w:rPr>
        <w:t>Litoria caerulea</w:t>
      </w:r>
      <w:r w:rsidRPr="005E31AF">
        <w:rPr>
          <w:rFonts w:ascii="Calibri" w:eastAsia="Times New Roman" w:hAnsi="Calibri" w:cs="Times New Roman"/>
          <w:sz w:val="24"/>
          <w:szCs w:val="24"/>
        </w:rPr>
        <w:t>) and Water Holding Frog (</w:t>
      </w:r>
      <w:r w:rsidRPr="005E31AF">
        <w:rPr>
          <w:rFonts w:ascii="Calibri" w:eastAsia="Times New Roman" w:hAnsi="Calibri" w:cs="Times New Roman"/>
          <w:i/>
          <w:sz w:val="24"/>
          <w:szCs w:val="24"/>
        </w:rPr>
        <w:t>Cyclorana platycephala</w:t>
      </w:r>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significant reduction in the numbers of the Common Froglet (</w:t>
      </w:r>
      <w:r w:rsidRPr="005E31AF">
        <w:rPr>
          <w:rFonts w:ascii="Calibri" w:eastAsia="Times New Roman" w:hAnsi="Calibri" w:cs="Times New Roman"/>
          <w:i/>
          <w:sz w:val="24"/>
          <w:szCs w:val="24"/>
        </w:rPr>
        <w:t>Crinia signifera</w:t>
      </w:r>
      <w:r w:rsidRPr="005E31AF">
        <w:rPr>
          <w:rFonts w:ascii="Calibri" w:eastAsia="Times New Roman" w:hAnsi="Calibri" w:cs="Times New Roman"/>
          <w:sz w:val="24"/>
          <w:szCs w:val="24"/>
        </w:rPr>
        <w:t>), Desert Tree Frog (</w:t>
      </w:r>
      <w:r w:rsidRPr="005E31AF">
        <w:rPr>
          <w:rFonts w:ascii="Calibri" w:eastAsia="Times New Roman" w:hAnsi="Calibri" w:cs="Times New Roman"/>
          <w:i/>
          <w:sz w:val="24"/>
          <w:szCs w:val="24"/>
        </w:rPr>
        <w:t>Litoria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L. spenceri</w:t>
      </w:r>
      <w:r w:rsidRPr="005E31AF">
        <w:rPr>
          <w:rFonts w:ascii="Calibri" w:eastAsia="Times New Roman" w:hAnsi="Calibri" w:cs="Times New Roman"/>
          <w:sz w:val="24"/>
          <w:szCs w:val="24"/>
        </w:rPr>
        <w:t>) is a worrying indicator of the state of the environmental health of these regions. The Common Froglet is typically a species uncommonly resilient to changes within its environment so it, in particular, is of concern. It is a widely spread species that easily travels overland to populate new bodies of water. The overall reduction in the recordings of the Common Froglet is a clear indicator that further analyses of these habitats should be undertaken.</w:t>
      </w:r>
    </w:p>
    <w:p w:rsidR="005E31AF" w:rsidRPr="005E31AF" w:rsidRDefault="005E31AF" w:rsidP="005E31AF">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5E31AF" w:rsidRPr="005E31AF" w:rsidRDefault="005E31AF" w:rsidP="005E31AF">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t>For Further Information:</w:t>
      </w:r>
    </w:p>
    <w:p w:rsidR="005E31AF" w:rsidRPr="005E31AF" w:rsidRDefault="005E31AF" w:rsidP="005E31AF">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New York</w:t>
      </w:r>
      <w:r w:rsidRPr="005E31AF">
        <w:rPr>
          <w:rFonts w:ascii="Calibri" w:eastAsia="Times New Roman" w:hAnsi="Calibri" w:cs="Times New Roman"/>
          <w:szCs w:val="20"/>
        </w:rPr>
        <w:br/>
        <w:t>Alpheius Global Enterprises Inc</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72 Gardner Avenue</w:t>
        </w:r>
      </w:smartTag>
      <w:r w:rsidRPr="005E31AF">
        <w:rPr>
          <w:rFonts w:ascii="Calibri" w:eastAsia="Times New Roman" w:hAnsi="Calibri" w:cs="Times New Roman"/>
          <w:szCs w:val="20"/>
        </w:rPr>
        <w:br/>
      </w:r>
      <w:smartTag w:uri="urn:schemas-microsoft-com:office:smarttags" w:element="place">
        <w:r w:rsidRPr="005E31AF">
          <w:rPr>
            <w:rFonts w:ascii="Calibri" w:eastAsia="Times New Roman" w:hAnsi="Calibri" w:cs="Times New Roman"/>
            <w:szCs w:val="20"/>
          </w:rPr>
          <w:t>Brooklyn</w:t>
        </w:r>
      </w:smartTag>
      <w:r w:rsidRPr="005E31AF">
        <w:rPr>
          <w:rFonts w:ascii="Calibri" w:eastAsia="Times New Roman" w:hAnsi="Calibri" w:cs="Times New Roman"/>
          <w:szCs w:val="20"/>
        </w:rPr>
        <w:br/>
        <w:t>NY11222</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United States of America</w:t>
          </w:r>
        </w:smartTag>
      </w:smartTag>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5E31AF" w:rsidRPr="005E31AF" w:rsidRDefault="005E31AF" w:rsidP="005E31AF">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t>Alpheius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5E31AF" w:rsidRPr="005E31AF" w:rsidRDefault="005E31AF" w:rsidP="005E31AF">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t>Alpheius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lastRenderedPageBreak/>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t>Alpheius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66 Waitikoki Bay Road</w:t>
      </w:r>
      <w:r w:rsidRPr="005E31AF">
        <w:rPr>
          <w:rFonts w:ascii="Calibri" w:eastAsia="Times New Roman" w:hAnsi="Calibri" w:cs="Times New Roman"/>
          <w:szCs w:val="20"/>
        </w:rPr>
        <w:br/>
        <w:t>Takapuna</w:t>
      </w:r>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5E31AF" w:rsidRPr="005E31AF" w:rsidRDefault="005E31AF" w:rsidP="005E31AF">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Melbourne</w:t>
      </w:r>
      <w:r w:rsidRPr="005E31AF">
        <w:rPr>
          <w:rFonts w:ascii="Calibri" w:eastAsia="Times New Roman" w:hAnsi="Calibri" w:cs="Times New Roman"/>
          <w:szCs w:val="20"/>
        </w:rPr>
        <w:br/>
        <w:t>Alpheius Global Enterprises Pty Ltd</w:t>
      </w:r>
      <w:r w:rsidRPr="005E31AF">
        <w:rPr>
          <w:rFonts w:ascii="Calibri" w:eastAsia="Times New Roman" w:hAnsi="Calibri" w:cs="Times New Roman"/>
          <w:szCs w:val="20"/>
        </w:rPr>
        <w:br/>
        <w:t>Alpheius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5E31AF" w:rsidRPr="005E31AF" w:rsidRDefault="005E31AF" w:rsidP="005E31AF">
      <w:pPr>
        <w:spacing w:after="120" w:line="240" w:lineRule="auto"/>
        <w:rPr>
          <w:rFonts w:ascii="Calibri" w:eastAsia="Times New Roman" w:hAnsi="Calibri" w:cs="Times New Roman"/>
          <w:sz w:val="24"/>
          <w:szCs w:val="24"/>
        </w:rPr>
      </w:pPr>
    </w:p>
    <w:p w:rsidR="006C5D95" w:rsidRDefault="005E31AF">
      <w:bookmarkStart w:id="0" w:name="_GoBack"/>
      <w:bookmarkEnd w:id="0"/>
    </w:p>
    <w:sectPr w:rsidR="006C5D95" w:rsidSect="005E31AF">
      <w:pgSz w:w="11907" w:h="16840" w:code="9"/>
      <w:pgMar w:top="1797"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AF"/>
    <w:rsid w:val="00395517"/>
    <w:rsid w:val="005E31AF"/>
    <w:rsid w:val="00603C69"/>
    <w:rsid w:val="00713497"/>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764</Words>
  <Characters>6621</Characters>
  <Application>Microsoft Office Word</Application>
  <DocSecurity>0</DocSecurity>
  <Lines>6621</Lines>
  <Paragraphs>273</Paragraphs>
  <ScaleCrop>false</ScaleCrop>
  <Company/>
  <LinksUpToDate>false</LinksUpToDate>
  <CharactersWithSpaces>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2010-07-27T00:38:00Z</dcterms:created>
  <dcterms:modified xsi:type="dcterms:W3CDTF">2010-07-27T00:39:00Z</dcterms:modified>
</cp:coreProperties>
</file>